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Guía de observación diagnóstica</w:t>
      </w:r>
    </w:p>
    <w:p>
      <w:r>
        <w:rPr>
          <w:sz w:val="22"/>
        </w:rPr>
        <w:t>Proyecto: Dialogar para construir paz: el conflicto como oportunidad | Momento: Diagnóstica | Evidencia: DATO NO PROPORCIONADO</w:t>
      </w:r>
    </w:p>
    <w:p>
      <w:r>
        <w:rPr>
          <w:b/>
        </w:rPr>
        <w:t>Evidencia(s) que se analiza(n):</w:t>
      </w:r>
    </w:p>
    <w:p>
      <w:pPr>
        <w:pStyle w:val="ListBullet"/>
      </w:pPr>
      <w:r>
        <w:t>DATO NO PROPORCIONADO</w:t>
      </w:r>
    </w:p>
    <w:p>
      <w:r>
        <w:t>Valoración general: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Aspecto observable</w:t>
            </w:r>
          </w:p>
        </w:tc>
        <w:tc>
          <w:tcPr>
            <w:tcW w:type="dxa" w:w="1728"/>
          </w:tcPr>
          <w:p>
            <w:r>
              <w:rPr>
                <w:b/>
              </w:rPr>
              <w:t>Sí</w:t>
            </w:r>
          </w:p>
        </w:tc>
        <w:tc>
          <w:tcPr>
            <w:tcW w:type="dxa" w:w="1728"/>
          </w:tcPr>
          <w:p>
            <w:r>
              <w:rPr>
                <w:b/>
              </w:rPr>
              <w:t>En proceso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No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Observaciones</w:t>
            </w:r>
          </w:p>
        </w:tc>
      </w:tr>
      <w:tr>
        <w:tc>
          <w:tcPr>
            <w:tcW w:type="dxa" w:w="1728"/>
          </w:tcPr>
          <w:p>
            <w:r>
              <w:t>Nombrar una situación de desacuerdo o pelea que recuerde haber vivido o presenciado.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Identificar quiénes estuvieron involucrados en ese desacuerdo.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Expresar cómo se resolvió o cómo le hubiera gustado que se resolviera.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Reconocer si en su casa o escuela hay reglas para cuando alguien se enoja.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Describir qué hace cuando quiere algo que también quiere otro compañero.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