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Lista de cotejo de proceso</w:t>
      </w:r>
    </w:p>
    <w:p>
      <w:r>
        <w:rPr>
          <w:sz w:val="22"/>
        </w:rPr>
        <w:t>Proyecto: Dialogar para construir paz: el conflicto como oportunidad | Momento: De proceso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Dibujo o registro gráfico de al menos una situación de conflicto identificada por el alumno, con indicación del espacio donde ocurrió.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 verificable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Pendiente</w:t>
            </w:r>
          </w:p>
        </w:tc>
        <w:tc>
          <w:tcPr>
            <w:tcW w:type="dxa" w:w="1728"/>
          </w:tcPr>
          <w:p>
            <w:r>
              <w:rPr>
                <w:b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Identificar al menos una situación de conflicto vivida o presenciada y ubicarla en el espacio donde ocurrió (casa, aula, escuela o comunidad).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Describir, de forma oral o gráfica, quiénes participan en una situación de conflicto y cómo se sienten los involucrados.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Participar en un ensayo de diálogo usando al menos una clave del diálogo (escuchar, esperar turno, decir cómo me siento o proponer solución).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Expresar, de forma oral o gráfica, al menos una propuesta de solución pacífica para un conflicto.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Contribuir con al menos un elemento (dibujo, frase o acuerdo) al Mural de acuerdos de paz del aula.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Reconocer, al menos durante la reflexión de cierre, que la paz se construye en colectivo y que el diálogo requiere la participación de todas las personas involucradas.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